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486953">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6953" w:rsidRDefault="00FC59AB">
            <w:pPr>
              <w:pStyle w:val="Standard"/>
              <w:tabs>
                <w:tab w:val="left" w:pos="4995"/>
              </w:tabs>
              <w:ind w:right="57"/>
              <w:jc w:val="center"/>
              <w:rPr>
                <w:b/>
                <w:bCs/>
                <w:i/>
                <w:iCs/>
                <w:u w:val="single"/>
              </w:rPr>
            </w:pPr>
            <w:r>
              <w:rPr>
                <w:b/>
                <w:bCs/>
                <w:i/>
                <w:iCs/>
                <w:u w:val="single"/>
              </w:rPr>
              <w:t>Article 142</w:t>
            </w:r>
          </w:p>
        </w:tc>
      </w:tr>
    </w:tbl>
    <w:p w:rsidR="00000000" w:rsidRDefault="00FC59AB">
      <w:pPr>
        <w:rPr>
          <w:vanish/>
        </w:rPr>
      </w:pP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486953">
        <w:tblPrEx>
          <w:tblCellMar>
            <w:top w:w="0" w:type="dxa"/>
            <w:bottom w:w="0" w:type="dxa"/>
          </w:tblCellMar>
        </w:tblPrEx>
        <w:trPr>
          <w:trHeight w:val="3060"/>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6953" w:rsidRDefault="00887B2C">
            <w:pPr>
              <w:pStyle w:val="Textbody"/>
              <w:tabs>
                <w:tab w:val="left" w:pos="5385"/>
              </w:tabs>
              <w:ind w:right="57"/>
              <w:rPr>
                <w:sz w:val="21"/>
                <w:szCs w:val="21"/>
              </w:rPr>
            </w:pPr>
            <w:r>
              <w:rPr>
                <w:sz w:val="21"/>
                <w:szCs w:val="21"/>
              </w:rPr>
              <w:t>1/</w:t>
            </w:r>
            <w:r w:rsidR="00FC59AB">
              <w:rPr>
                <w:sz w:val="21"/>
                <w:szCs w:val="21"/>
              </w:rPr>
              <w:t>Il y a, pour toute la Belgique, une Cour constitutionnelle, dont la composition, la compétence et le fonctionnement sont déterminés par la loi.</w:t>
            </w:r>
          </w:p>
          <w:p w:rsidR="00486953" w:rsidRDefault="00887B2C">
            <w:pPr>
              <w:pStyle w:val="Textbody"/>
              <w:rPr>
                <w:sz w:val="21"/>
                <w:szCs w:val="21"/>
              </w:rPr>
            </w:pPr>
            <w:r>
              <w:rPr>
                <w:sz w:val="21"/>
                <w:szCs w:val="21"/>
              </w:rPr>
              <w:t>2/</w:t>
            </w:r>
            <w:r w:rsidR="00FC59AB">
              <w:rPr>
                <w:sz w:val="21"/>
                <w:szCs w:val="21"/>
              </w:rPr>
              <w:t xml:space="preserve">Cette Cour statue par </w:t>
            </w:r>
            <w:r w:rsidR="00FC59AB">
              <w:rPr>
                <w:sz w:val="21"/>
                <w:szCs w:val="21"/>
              </w:rPr>
              <w:t>voie d'arrêt sur :</w:t>
            </w:r>
          </w:p>
          <w:p w:rsidR="00486953" w:rsidRDefault="00887B2C">
            <w:pPr>
              <w:pStyle w:val="Textbody"/>
              <w:rPr>
                <w:sz w:val="21"/>
                <w:szCs w:val="21"/>
              </w:rPr>
            </w:pPr>
            <w:r>
              <w:rPr>
                <w:sz w:val="21"/>
                <w:szCs w:val="21"/>
              </w:rPr>
              <w:t>3/</w:t>
            </w:r>
            <w:r w:rsidR="00FC59AB">
              <w:rPr>
                <w:sz w:val="21"/>
                <w:szCs w:val="21"/>
              </w:rPr>
              <w:t>1° les conflits visés à l'article 141;</w:t>
            </w:r>
          </w:p>
          <w:p w:rsidR="00486953" w:rsidRDefault="00887B2C">
            <w:pPr>
              <w:pStyle w:val="Textbody"/>
              <w:rPr>
                <w:sz w:val="21"/>
                <w:szCs w:val="21"/>
              </w:rPr>
            </w:pPr>
            <w:r>
              <w:rPr>
                <w:sz w:val="21"/>
                <w:szCs w:val="21"/>
              </w:rPr>
              <w:t>4/</w:t>
            </w:r>
            <w:r w:rsidR="00FC59AB">
              <w:rPr>
                <w:sz w:val="21"/>
                <w:szCs w:val="21"/>
              </w:rPr>
              <w:t>2° la violation par une loi, un décret ou une règle visée à l'article134, des articles 10, 11 et 24;</w:t>
            </w:r>
          </w:p>
          <w:p w:rsidR="00486953" w:rsidRDefault="00887B2C">
            <w:pPr>
              <w:pStyle w:val="Textbody"/>
              <w:rPr>
                <w:sz w:val="21"/>
                <w:szCs w:val="21"/>
              </w:rPr>
            </w:pPr>
            <w:r>
              <w:rPr>
                <w:sz w:val="21"/>
                <w:szCs w:val="21"/>
              </w:rPr>
              <w:t>5/</w:t>
            </w:r>
            <w:r w:rsidR="00FC59AB">
              <w:rPr>
                <w:sz w:val="21"/>
                <w:szCs w:val="21"/>
              </w:rPr>
              <w:t>3° la violation par une loi, un décret ou une règle visée à l'article 134, des articles de la Con</w:t>
            </w:r>
            <w:r w:rsidR="00FC59AB">
              <w:rPr>
                <w:sz w:val="21"/>
                <w:szCs w:val="21"/>
              </w:rPr>
              <w:t>stitution que la loi détermine.</w:t>
            </w:r>
          </w:p>
          <w:p w:rsidR="00486953" w:rsidRDefault="00887B2C">
            <w:pPr>
              <w:pStyle w:val="Textbody"/>
              <w:rPr>
                <w:sz w:val="21"/>
                <w:szCs w:val="21"/>
              </w:rPr>
            </w:pPr>
            <w:r>
              <w:rPr>
                <w:sz w:val="21"/>
                <w:szCs w:val="21"/>
              </w:rPr>
              <w:t>6/</w:t>
            </w:r>
            <w:r w:rsidR="00FC59AB">
              <w:rPr>
                <w:sz w:val="21"/>
                <w:szCs w:val="21"/>
              </w:rPr>
              <w:t>La Cour peut être saisie par toute autorité que la loi désigne, par toute personne justifiant d'un intérêt ou, à titre préjudiciel, par toute juridiction.</w:t>
            </w:r>
          </w:p>
          <w:p w:rsidR="00486953" w:rsidRDefault="00887B2C">
            <w:pPr>
              <w:pStyle w:val="Textbody"/>
              <w:rPr>
                <w:sz w:val="21"/>
                <w:szCs w:val="21"/>
              </w:rPr>
            </w:pPr>
            <w:r>
              <w:rPr>
                <w:sz w:val="21"/>
                <w:szCs w:val="21"/>
              </w:rPr>
              <w:t>7/</w:t>
            </w:r>
            <w:r w:rsidR="00FC59AB">
              <w:rPr>
                <w:sz w:val="21"/>
                <w:szCs w:val="21"/>
              </w:rPr>
              <w:t>La Cour statue par voie de décision sur chaque consultation populaire</w:t>
            </w:r>
            <w:r w:rsidR="00FC59AB">
              <w:rPr>
                <w:sz w:val="21"/>
                <w:szCs w:val="21"/>
              </w:rPr>
              <w:t xml:space="preserve"> visée à l'article 39bis, préalablement à son organisation, dans les conditions et selon les modalités fixées par la loi.</w:t>
            </w:r>
          </w:p>
          <w:p w:rsidR="00486953" w:rsidRDefault="00887B2C">
            <w:pPr>
              <w:pStyle w:val="Textbody"/>
              <w:rPr>
                <w:sz w:val="21"/>
                <w:szCs w:val="21"/>
              </w:rPr>
            </w:pPr>
            <w:r>
              <w:rPr>
                <w:sz w:val="21"/>
                <w:szCs w:val="21"/>
              </w:rPr>
              <w:t>8/</w:t>
            </w:r>
            <w:r w:rsidR="00FC59AB">
              <w:rPr>
                <w:sz w:val="21"/>
                <w:szCs w:val="21"/>
              </w:rPr>
              <w:t>La loi peut, dans les cas et selon les conditions et les modalités qu'elle détermine, attribuer à la Cour la compétence de statuer, pa</w:t>
            </w:r>
            <w:r w:rsidR="00FC59AB">
              <w:rPr>
                <w:sz w:val="21"/>
                <w:szCs w:val="21"/>
              </w:rPr>
              <w:t>r voie d'arrêt, sur les recours formés contre les décisions des assemblées législatives ou de leurs organes, en matière de contrôle des dépenses électorales engagées pour les élections pour la Chambre des représentants.</w:t>
            </w:r>
          </w:p>
          <w:p w:rsidR="00486953" w:rsidRDefault="00887B2C">
            <w:pPr>
              <w:pStyle w:val="Textbody"/>
            </w:pPr>
            <w:r>
              <w:rPr>
                <w:sz w:val="21"/>
                <w:szCs w:val="21"/>
              </w:rPr>
              <w:t>9/</w:t>
            </w:r>
            <w:r w:rsidR="00FC59AB">
              <w:rPr>
                <w:sz w:val="21"/>
                <w:szCs w:val="21"/>
              </w:rPr>
              <w:t>Les lois visées à l'alinéa 1er, à l'</w:t>
            </w:r>
            <w:r w:rsidR="00FC59AB">
              <w:rPr>
                <w:sz w:val="21"/>
                <w:szCs w:val="21"/>
              </w:rPr>
              <w:t>alinéa 2, 3°, et aux alinéas 3 à 5, sont adoptées à la majorité prévue à l'article 4, dernier alinéa.</w:t>
            </w:r>
          </w:p>
        </w:tc>
      </w:tr>
    </w:tbl>
    <w:p w:rsidR="00486953" w:rsidRDefault="00486953">
      <w:pPr>
        <w:pStyle w:val="Standard"/>
        <w:tabs>
          <w:tab w:val="left" w:pos="4995"/>
        </w:tabs>
        <w:ind w:right="4592"/>
      </w:pP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486953">
        <w:tblPrEx>
          <w:tblCellMar>
            <w:top w:w="0" w:type="dxa"/>
            <w:bottom w:w="0" w:type="dxa"/>
          </w:tblCellMar>
        </w:tblPrEx>
        <w:trPr>
          <w:trHeight w:val="7538"/>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6953" w:rsidRDefault="00FC59AB">
            <w:pPr>
              <w:pStyle w:val="TableContents"/>
            </w:pPr>
            <w:r>
              <w:lastRenderedPageBreak/>
              <w:t>Décodage</w:t>
            </w:r>
          </w:p>
          <w:p w:rsidR="00486953" w:rsidRDefault="00486953">
            <w:pPr>
              <w:pStyle w:val="TableContents"/>
            </w:pPr>
          </w:p>
          <w:p w:rsidR="00486953" w:rsidRDefault="00486953">
            <w:pPr>
              <w:pStyle w:val="TableContents"/>
            </w:pPr>
          </w:p>
          <w:p w:rsidR="00486953" w:rsidRDefault="00486953">
            <w:pPr>
              <w:pStyle w:val="TableContents"/>
            </w:pPr>
          </w:p>
          <w:p w:rsidR="00486953" w:rsidRDefault="00486953">
            <w:pPr>
              <w:pStyle w:val="TableContents"/>
            </w:pPr>
          </w:p>
          <w:p w:rsidR="00486953" w:rsidRDefault="00486953">
            <w:pPr>
              <w:pStyle w:val="TableContents"/>
            </w:pPr>
          </w:p>
          <w:p w:rsidR="00486953" w:rsidRDefault="00486953">
            <w:pPr>
              <w:pStyle w:val="TableContents"/>
            </w:pPr>
          </w:p>
          <w:p w:rsidR="00486953" w:rsidRDefault="00486953">
            <w:pPr>
              <w:pStyle w:val="TableContents"/>
            </w:pPr>
          </w:p>
          <w:p w:rsidR="00486953" w:rsidRDefault="00486953">
            <w:pPr>
              <w:pStyle w:val="TableContents"/>
            </w:pPr>
          </w:p>
          <w:p w:rsidR="00486953" w:rsidRDefault="00486953">
            <w:pPr>
              <w:pStyle w:val="TableContents"/>
            </w:pPr>
          </w:p>
          <w:p w:rsidR="00486953" w:rsidRDefault="00486953">
            <w:pPr>
              <w:pStyle w:val="TableContents"/>
            </w:pPr>
          </w:p>
        </w:tc>
      </w:tr>
    </w:tbl>
    <w:p w:rsidR="00000000" w:rsidRDefault="00FC59AB">
      <w:pPr>
        <w:rPr>
          <w:vanish/>
        </w:rPr>
      </w:pPr>
    </w:p>
    <w:tbl>
      <w:tblPr>
        <w:tblW w:w="9638" w:type="dxa"/>
        <w:tblInd w:w="55" w:type="dxa"/>
        <w:tblLayout w:type="fixed"/>
        <w:tblCellMar>
          <w:left w:w="10" w:type="dxa"/>
          <w:right w:w="10" w:type="dxa"/>
        </w:tblCellMar>
        <w:tblLook w:val="0000" w:firstRow="0" w:lastRow="0" w:firstColumn="0" w:lastColumn="0" w:noHBand="0" w:noVBand="0"/>
      </w:tblPr>
      <w:tblGrid>
        <w:gridCol w:w="9638"/>
      </w:tblGrid>
      <w:tr w:rsidR="00486953">
        <w:tblPrEx>
          <w:tblCellMar>
            <w:top w:w="0" w:type="dxa"/>
            <w:bottom w:w="0" w:type="dxa"/>
          </w:tblCellMar>
        </w:tblPrEx>
        <w:trPr>
          <w:trHeight w:val="14460"/>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6953" w:rsidRDefault="00FC59AB">
            <w:pPr>
              <w:pStyle w:val="TableContents"/>
              <w:tabs>
                <w:tab w:val="left" w:pos="5498"/>
              </w:tabs>
              <w:ind w:right="4592"/>
            </w:pPr>
            <w:r>
              <w:lastRenderedPageBreak/>
              <w:t>Modification</w:t>
            </w:r>
          </w:p>
          <w:p w:rsidR="00486953" w:rsidRDefault="00486953">
            <w:pPr>
              <w:pStyle w:val="TableContents"/>
              <w:tabs>
                <w:tab w:val="left" w:pos="4995"/>
              </w:tabs>
              <w:ind w:right="4592"/>
            </w:pPr>
          </w:p>
          <w:p w:rsidR="00486953" w:rsidRDefault="00887B2C">
            <w:pPr>
              <w:pStyle w:val="TableContents"/>
              <w:tabs>
                <w:tab w:val="left" w:pos="4995"/>
              </w:tabs>
              <w:ind w:right="4592"/>
            </w:pPr>
            <w:r>
              <w:t>1/deux options</w:t>
            </w:r>
          </w:p>
          <w:p w:rsidR="00887B2C" w:rsidRDefault="00887B2C" w:rsidP="00887B2C">
            <w:pPr>
              <w:pStyle w:val="TableContents"/>
              <w:numPr>
                <w:ilvl w:val="0"/>
                <w:numId w:val="1"/>
              </w:numPr>
              <w:tabs>
                <w:tab w:val="left" w:pos="4995"/>
              </w:tabs>
              <w:ind w:right="4592"/>
            </w:pPr>
            <w:r>
              <w:t>50% d’experts + 50% de citoyens tirés au sort</w:t>
            </w:r>
          </w:p>
          <w:p w:rsidR="00887B2C" w:rsidRDefault="00887B2C" w:rsidP="00887B2C">
            <w:pPr>
              <w:pStyle w:val="TableContents"/>
              <w:numPr>
                <w:ilvl w:val="0"/>
                <w:numId w:val="1"/>
              </w:numPr>
              <w:tabs>
                <w:tab w:val="left" w:pos="4995"/>
              </w:tabs>
              <w:ind w:right="4592"/>
            </w:pPr>
            <w:r>
              <w:t>100% de citoyens tirés au sort</w:t>
            </w:r>
          </w:p>
          <w:p w:rsidR="00486953" w:rsidRDefault="00887B2C">
            <w:pPr>
              <w:pStyle w:val="TableContents"/>
              <w:tabs>
                <w:tab w:val="left" w:pos="4995"/>
              </w:tabs>
              <w:ind w:right="4592"/>
            </w:pPr>
            <w:r>
              <w:t>6/Il faut éclaircir ce point</w:t>
            </w:r>
          </w:p>
          <w:p w:rsidR="00486953" w:rsidRDefault="00887B2C">
            <w:pPr>
              <w:pStyle w:val="TableContents"/>
              <w:tabs>
                <w:tab w:val="left" w:pos="4995"/>
              </w:tabs>
              <w:ind w:right="4592"/>
            </w:pPr>
            <w:r>
              <w:t>7/La cour vérifie que chaque référendum proposés respectent la constitution</w:t>
            </w:r>
            <w:bookmarkStart w:id="0" w:name="_GoBack"/>
            <w:bookmarkEnd w:id="0"/>
          </w:p>
          <w:p w:rsidR="00486953" w:rsidRDefault="00486953">
            <w:pPr>
              <w:pStyle w:val="TableContents"/>
              <w:tabs>
                <w:tab w:val="left" w:pos="4995"/>
              </w:tabs>
              <w:ind w:right="4592"/>
            </w:pPr>
          </w:p>
          <w:p w:rsidR="00486953" w:rsidRDefault="00486953">
            <w:pPr>
              <w:pStyle w:val="TableContents"/>
              <w:tabs>
                <w:tab w:val="left" w:pos="4995"/>
              </w:tabs>
              <w:ind w:right="4592"/>
            </w:pPr>
          </w:p>
          <w:p w:rsidR="00486953" w:rsidRDefault="00486953">
            <w:pPr>
              <w:pStyle w:val="TableContents"/>
              <w:tabs>
                <w:tab w:val="left" w:pos="4995"/>
              </w:tabs>
              <w:ind w:right="4592"/>
            </w:pPr>
          </w:p>
          <w:p w:rsidR="00486953" w:rsidRDefault="00486953">
            <w:pPr>
              <w:pStyle w:val="TableContents"/>
              <w:tabs>
                <w:tab w:val="left" w:pos="4995"/>
              </w:tabs>
              <w:ind w:right="4592"/>
            </w:pPr>
          </w:p>
          <w:p w:rsidR="00486953" w:rsidRDefault="00486953">
            <w:pPr>
              <w:pStyle w:val="TableContents"/>
              <w:tabs>
                <w:tab w:val="left" w:pos="4995"/>
              </w:tabs>
              <w:ind w:right="4592"/>
            </w:pPr>
          </w:p>
          <w:p w:rsidR="00486953" w:rsidRDefault="00486953">
            <w:pPr>
              <w:pStyle w:val="TableContents"/>
              <w:tabs>
                <w:tab w:val="left" w:pos="4995"/>
              </w:tabs>
              <w:ind w:right="4592"/>
            </w:pPr>
          </w:p>
        </w:tc>
      </w:tr>
    </w:tbl>
    <w:p w:rsidR="00486953" w:rsidRDefault="00486953">
      <w:pPr>
        <w:pStyle w:val="Standard"/>
        <w:tabs>
          <w:tab w:val="left" w:pos="4995"/>
        </w:tabs>
        <w:ind w:right="4592"/>
      </w:pPr>
    </w:p>
    <w:sectPr w:rsidR="004869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AB" w:rsidRDefault="00FC59AB">
      <w:r>
        <w:separator/>
      </w:r>
    </w:p>
  </w:endnote>
  <w:endnote w:type="continuationSeparator" w:id="0">
    <w:p w:rsidR="00FC59AB" w:rsidRDefault="00FC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ejaVu Sans">
    <w:altName w:val="Maassslicer"/>
    <w:panose1 w:val="020B0603030804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AB" w:rsidRDefault="00FC59AB">
      <w:r>
        <w:rPr>
          <w:color w:val="000000"/>
        </w:rPr>
        <w:separator/>
      </w:r>
    </w:p>
  </w:footnote>
  <w:footnote w:type="continuationSeparator" w:id="0">
    <w:p w:rsidR="00FC59AB" w:rsidRDefault="00FC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C53"/>
    <w:multiLevelType w:val="hybridMultilevel"/>
    <w:tmpl w:val="08EC87A0"/>
    <w:lvl w:ilvl="0" w:tplc="39F86CD8">
      <w:numFmt w:val="bullet"/>
      <w:lvlText w:val="-"/>
      <w:lvlJc w:val="left"/>
      <w:pPr>
        <w:ind w:left="720" w:hanging="360"/>
      </w:pPr>
      <w:rPr>
        <w:rFonts w:ascii="Liberation Serif" w:eastAsia="DejaVu Sans"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6953"/>
    <w:rsid w:val="00486953"/>
    <w:rsid w:val="00887B2C"/>
    <w:rsid w:val="00E26B85"/>
    <w:rsid w:val="00FC5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kern w:val="3"/>
        <w:sz w:val="24"/>
        <w:szCs w:val="24"/>
        <w:lang w:val="fr-B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styleId="Accentuation">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kern w:val="3"/>
        <w:sz w:val="24"/>
        <w:szCs w:val="24"/>
        <w:lang w:val="fr-B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styleId="Accentuation">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Doppagne</dc:creator>
  <cp:lastModifiedBy>Marcel Doppagne</cp:lastModifiedBy>
  <cp:revision>2</cp:revision>
  <dcterms:created xsi:type="dcterms:W3CDTF">2018-12-24T14:27:00Z</dcterms:created>
  <dcterms:modified xsi:type="dcterms:W3CDTF">2019-02-03T17:49:00Z</dcterms:modified>
</cp:coreProperties>
</file>